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E0" w:rsidRPr="001622E3" w:rsidRDefault="005A59DE" w:rsidP="001B45E0">
      <w:pPr>
        <w:suppressAutoHyphens w:val="0"/>
        <w:rPr>
          <w:kern w:val="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02363C" wp14:editId="43E78DE0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5E0" w:rsidRPr="0085705D" w:rsidRDefault="001B45E0" w:rsidP="001B45E0">
      <w:pPr>
        <w:suppressAutoHyphens w:val="0"/>
        <w:jc w:val="center"/>
        <w:rPr>
          <w:b/>
          <w:kern w:val="0"/>
          <w:lang w:eastAsia="ru-RU"/>
        </w:rPr>
      </w:pPr>
      <w:r w:rsidRPr="0085705D">
        <w:rPr>
          <w:b/>
          <w:kern w:val="0"/>
          <w:lang w:eastAsia="ru-RU"/>
        </w:rPr>
        <w:t>ТЕХНИЧЕСКОЕ ЗАДАНИЕ</w:t>
      </w:r>
    </w:p>
    <w:p w:rsidR="001B45E0" w:rsidRDefault="001B45E0" w:rsidP="001B45E0">
      <w:pPr>
        <w:suppressAutoHyphens w:val="0"/>
        <w:jc w:val="center"/>
        <w:rPr>
          <w:b/>
          <w:kern w:val="0"/>
          <w:lang w:eastAsia="ru-RU"/>
        </w:rPr>
      </w:pPr>
      <w:r w:rsidRPr="0085705D">
        <w:rPr>
          <w:b/>
          <w:kern w:val="0"/>
          <w:lang w:eastAsia="ru-RU"/>
        </w:rPr>
        <w:t xml:space="preserve">на оказание услуг по разработке проекта санитарно-защитной зоны </w:t>
      </w:r>
      <w:r w:rsidR="001622E3" w:rsidRPr="001622E3">
        <w:rPr>
          <w:b/>
          <w:kern w:val="0"/>
          <w:lang w:eastAsia="ru-RU"/>
        </w:rPr>
        <w:t xml:space="preserve">для объектов: автоколонна №1, расположенная по адресу: г. Тулун, ул. Гидролизная, д. 97 </w:t>
      </w:r>
      <w:r w:rsidR="00C36E27">
        <w:rPr>
          <w:b/>
          <w:kern w:val="0"/>
          <w:lang w:eastAsia="ru-RU"/>
        </w:rPr>
        <w:br/>
      </w:r>
      <w:r w:rsidR="001622E3" w:rsidRPr="001622E3">
        <w:rPr>
          <w:b/>
          <w:kern w:val="0"/>
          <w:lang w:eastAsia="ru-RU"/>
        </w:rPr>
        <w:t>(3 категория НВОС), стояночная площадка, расположенная по адресу: г. Тулун, микрорайон «Угольщиков», д. 23 в (4 категория НВОС)</w:t>
      </w:r>
    </w:p>
    <w:p w:rsidR="001622E3" w:rsidRPr="0085705D" w:rsidRDefault="001622E3" w:rsidP="001B45E0">
      <w:pPr>
        <w:suppressAutoHyphens w:val="0"/>
        <w:jc w:val="center"/>
        <w:rPr>
          <w:b/>
          <w:kern w:val="0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B45E0" w:rsidRPr="0085705D" w:rsidTr="00A267AA">
        <w:trPr>
          <w:trHeight w:val="274"/>
        </w:trPr>
        <w:tc>
          <w:tcPr>
            <w:tcW w:w="10065" w:type="dxa"/>
          </w:tcPr>
          <w:p w:rsidR="001B45E0" w:rsidRPr="0085705D" w:rsidRDefault="002B21F8" w:rsidP="002B21F8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>
              <w:rPr>
                <w:b/>
                <w:bCs/>
                <w:kern w:val="0"/>
                <w:lang w:val="x-none" w:eastAsia="x-none"/>
              </w:rPr>
              <w:t>Цель разработки п</w:t>
            </w:r>
            <w:r>
              <w:rPr>
                <w:b/>
                <w:bCs/>
                <w:kern w:val="0"/>
                <w:lang w:eastAsia="x-none"/>
              </w:rPr>
              <w:t>роекта</w:t>
            </w:r>
            <w:r w:rsidR="001B45E0" w:rsidRPr="0085705D">
              <w:rPr>
                <w:b/>
                <w:bCs/>
                <w:kern w:val="0"/>
                <w:lang w:val="x-none" w:eastAsia="x-none"/>
              </w:rPr>
              <w:t>:</w:t>
            </w:r>
          </w:p>
        </w:tc>
      </w:tr>
      <w:tr w:rsidR="001B45E0" w:rsidRPr="0085705D" w:rsidTr="00A267AA">
        <w:trPr>
          <w:trHeight w:val="264"/>
        </w:trPr>
        <w:tc>
          <w:tcPr>
            <w:tcW w:w="10065" w:type="dxa"/>
          </w:tcPr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x-none"/>
              </w:rPr>
            </w:pPr>
            <w:r w:rsidRPr="0085705D">
              <w:rPr>
                <w:kern w:val="0"/>
                <w:lang w:eastAsia="x-none"/>
              </w:rPr>
              <w:t>1.</w:t>
            </w:r>
            <w:r w:rsidRPr="0085705D">
              <w:rPr>
                <w:kern w:val="0"/>
                <w:lang w:val="x-none" w:eastAsia="x-none"/>
              </w:rPr>
              <w:t xml:space="preserve">Установление размера санитарно-защитной зоны для </w:t>
            </w:r>
            <w:r w:rsidRPr="0085705D">
              <w:rPr>
                <w:kern w:val="0"/>
                <w:lang w:eastAsia="x-none"/>
              </w:rPr>
              <w:t>объектов: автоколонна №1, расположенная по адресу: г. Тулун, ул. Гидролизная, д. 97 (3 категория НВОС), стояночная площадка, расположенная по адресу: г. Тулун, микрорайон «Угольщиков», д. 23 в (4 категория НВОС).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x-none"/>
              </w:rPr>
            </w:pPr>
            <w:r w:rsidRPr="0085705D">
              <w:rPr>
                <w:kern w:val="0"/>
                <w:lang w:eastAsia="x-none"/>
              </w:rPr>
              <w:t>2. Получение Решения об установлении границ санитарно-защитной зоны и внесением сведений в ЕГРН автоколонна №1 (3 категории НВОС), стояночная площадка объект 4 категории НВОС.</w:t>
            </w:r>
          </w:p>
        </w:tc>
      </w:tr>
      <w:tr w:rsidR="001B45E0" w:rsidRPr="0085705D" w:rsidTr="00A267AA">
        <w:trPr>
          <w:trHeight w:val="276"/>
        </w:trPr>
        <w:tc>
          <w:tcPr>
            <w:tcW w:w="10065" w:type="dxa"/>
          </w:tcPr>
          <w:p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Основания для разработки проекта:</w:t>
            </w:r>
          </w:p>
        </w:tc>
      </w:tr>
      <w:tr w:rsidR="001B45E0" w:rsidRPr="0085705D" w:rsidTr="00A267AA">
        <w:trPr>
          <w:trHeight w:val="601"/>
        </w:trPr>
        <w:tc>
          <w:tcPr>
            <w:tcW w:w="10065" w:type="dxa"/>
          </w:tcPr>
          <w:p w:rsidR="001B45E0" w:rsidRPr="0085705D" w:rsidRDefault="001B45E0" w:rsidP="00A267AA">
            <w:pPr>
              <w:keepNext/>
              <w:keepLines/>
              <w:shd w:val="clear" w:color="auto" w:fill="FFFFFF"/>
              <w:suppressAutoHyphens w:val="0"/>
              <w:jc w:val="both"/>
              <w:outlineLvl w:val="0"/>
              <w:rPr>
                <w:bCs/>
                <w:kern w:val="0"/>
                <w:lang w:val="x-none" w:eastAsia="ru-RU"/>
              </w:rPr>
            </w:pPr>
            <w:r w:rsidRPr="0085705D">
              <w:rPr>
                <w:bCs/>
                <w:kern w:val="0"/>
                <w:lang w:val="x-none" w:eastAsia="ru-RU"/>
              </w:rPr>
              <w:t xml:space="preserve">Градостроительный кодекс Российской Федерации от 29.12.2004 № 190-ФЗ, Федеральный закон от 30.03.1999 № 52-ФЗ «О санитарно-эпидемиологическом благополучии населения», Земельный кодекс Российской Федерации от 25.10.2001 № 136-ФЗ, Постановление Правительства Российской Федерации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зон», Приказ Федеральной службы по надзору в сфере защиты прав потребителей и благополучия человека от 2.11.2018 №299 «Об утверждении порядка выдачи решений об установлении, изменении или о прекращении существования санитарно-защитной зоны», СанПиН 2.2.1./2.1.1.1200-03 «Санитарно-защитные зоны и санитарная классификация предприятий, сооружений и иных объектов», </w:t>
            </w:r>
            <w:hyperlink r:id="rId6" w:anchor="7DI0K8" w:history="1">
              <w:r w:rsidRPr="0085705D">
                <w:rPr>
                  <w:bCs/>
                  <w:kern w:val="0"/>
                  <w:u w:val="single"/>
                  <w:lang w:val="x-none" w:eastAsia="ru-RU"/>
                </w:rPr>
  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  </w:r>
            </w:hyperlink>
            <w:r w:rsidRPr="0085705D">
              <w:rPr>
                <w:bCs/>
                <w:kern w:val="0"/>
                <w:lang w:val="x-none" w:eastAsia="ru-RU"/>
              </w:rPr>
              <w:t xml:space="preserve">, </w:t>
            </w:r>
            <w:hyperlink r:id="rId7" w:anchor="6560IO" w:history="1">
              <w:r w:rsidRPr="0085705D">
                <w:rPr>
                  <w:bCs/>
                  <w:kern w:val="0"/>
                  <w:u w:val="single"/>
                  <w:lang w:val="x-none" w:eastAsia="ru-RU"/>
                </w:rPr>
      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      </w:r>
            </w:hyperlink>
            <w:r w:rsidRPr="0085705D">
              <w:rPr>
                <w:rFonts w:ascii="Cambria" w:hAnsi="Cambria"/>
                <w:b/>
                <w:bCs/>
                <w:kern w:val="0"/>
                <w:sz w:val="18"/>
                <w:szCs w:val="18"/>
                <w:lang w:val="x-none" w:eastAsia="ru-RU"/>
              </w:rPr>
              <w:t>.</w:t>
            </w:r>
          </w:p>
        </w:tc>
      </w:tr>
      <w:tr w:rsidR="001B45E0" w:rsidRPr="0085705D" w:rsidTr="00A267AA">
        <w:trPr>
          <w:trHeight w:val="284"/>
        </w:trPr>
        <w:tc>
          <w:tcPr>
            <w:tcW w:w="10065" w:type="dxa"/>
          </w:tcPr>
          <w:p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Сроки оказания услуг:</w:t>
            </w:r>
          </w:p>
        </w:tc>
      </w:tr>
      <w:tr w:rsidR="001B45E0" w:rsidRPr="0085705D" w:rsidTr="00A267AA">
        <w:trPr>
          <w:trHeight w:val="284"/>
        </w:trPr>
        <w:tc>
          <w:tcPr>
            <w:tcW w:w="10065" w:type="dxa"/>
          </w:tcPr>
          <w:p w:rsidR="001B45E0" w:rsidRPr="0085705D" w:rsidRDefault="001B45E0" w:rsidP="00195F9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Cs/>
                <w:kern w:val="0"/>
                <w:lang w:eastAsia="x-none"/>
              </w:rPr>
            </w:pPr>
            <w:r w:rsidRPr="0085705D">
              <w:rPr>
                <w:bCs/>
                <w:kern w:val="0"/>
                <w:lang w:eastAsia="x-none"/>
              </w:rPr>
              <w:t>С момента заключе</w:t>
            </w:r>
            <w:r w:rsidR="00195F97">
              <w:rPr>
                <w:bCs/>
                <w:kern w:val="0"/>
                <w:lang w:eastAsia="x-none"/>
              </w:rPr>
              <w:t>ния договора по 30.08.2024 года.</w:t>
            </w:r>
          </w:p>
        </w:tc>
      </w:tr>
      <w:tr w:rsidR="001B45E0" w:rsidRPr="0085705D" w:rsidTr="00A267AA">
        <w:tc>
          <w:tcPr>
            <w:tcW w:w="10065" w:type="dxa"/>
          </w:tcPr>
          <w:p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hanging="720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t>Состав услуг:</w:t>
            </w:r>
          </w:p>
        </w:tc>
      </w:tr>
      <w:tr w:rsidR="001B45E0" w:rsidRPr="0085705D" w:rsidTr="00A267AA">
        <w:trPr>
          <w:trHeight w:val="1623"/>
        </w:trPr>
        <w:tc>
          <w:tcPr>
            <w:tcW w:w="10065" w:type="dxa"/>
          </w:tcPr>
          <w:p w:rsidR="001B45E0" w:rsidRPr="0085705D" w:rsidRDefault="001B45E0" w:rsidP="001B45E0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0" w:firstLine="3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Разработка проекта СЗЗ с проведением оценки риска здоровью населения. (сбор и анализ исходных данных, получение Справки о климатических характеристиках, по фоновым концентрациям примесей (при необходимости) в территориальном управлении Федеральной службы России по гидрометеорологии и мониторингу окружающей среды, подготовка картографической основы для проектирования СЗЗ, расчет рассеивания загрязнения атмосферного воздуха и физического воздействия на атмосферный воздух на основании действующего законодательства с использованием программного обеспечения,</w:t>
            </w:r>
            <w:r w:rsidRPr="0085705D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85705D">
              <w:rPr>
                <w:kern w:val="0"/>
                <w:lang w:eastAsia="ru-RU"/>
              </w:rPr>
              <w:t>оценка перспектив сокращения СЗЗ (при необходимости)).</w:t>
            </w:r>
          </w:p>
          <w:p w:rsidR="001B45E0" w:rsidRPr="0085705D" w:rsidRDefault="001B45E0" w:rsidP="001B45E0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284" w:hanging="284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Согласование проекта СЗЗ и получение решения по установлению размеров СЗЗ: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Графическое и текстовое описание местоположения границ санитарно-защитной зоны.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Доставка документов в согласующие органы, отслеживание процесса согласования.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lastRenderedPageBreak/>
              <w:t xml:space="preserve">Получение положительного экспертного заключения о проведении </w:t>
            </w:r>
            <w:proofErr w:type="spellStart"/>
            <w:r w:rsidRPr="0085705D">
              <w:rPr>
                <w:kern w:val="0"/>
                <w:lang w:eastAsia="ru-RU"/>
              </w:rPr>
              <w:t>санитарно</w:t>
            </w:r>
            <w:proofErr w:type="spellEnd"/>
            <w:r w:rsidRPr="0085705D">
              <w:rPr>
                <w:kern w:val="0"/>
                <w:lang w:eastAsia="ru-RU"/>
              </w:rPr>
              <w:t xml:space="preserve"> – эпидемиологической экспертизы в отношении проектов СЗЗ в аккредитованной экспертной организации.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uppressAutoHyphens w:val="0"/>
              <w:ind w:left="317" w:hanging="317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 xml:space="preserve">Получение положительного санитарно-эпидемиологического заключения Управлением Федеральной службы по надзору в сфере защиты прав потребителей и благополучия человека. 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uppressAutoHyphens w:val="0"/>
              <w:ind w:left="317" w:hanging="317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Организация лабораторных исследований атмосферного воздуха и измерений физических воздействий на атмосферный воздух на границе СЗЗ в зависимости от класса объекта по санитарной классификации (СанПиН 2.2.1/2.1.1.1200-03).</w:t>
            </w:r>
          </w:p>
          <w:p w:rsidR="001B45E0" w:rsidRPr="0085705D" w:rsidRDefault="001B45E0" w:rsidP="001B45E0">
            <w:pPr>
              <w:numPr>
                <w:ilvl w:val="1"/>
                <w:numId w:val="3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426" w:hanging="426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Получение Решения об установлении границ СЗЗ и внесение сведений в ЕГРН.</w:t>
            </w:r>
          </w:p>
          <w:p w:rsidR="001B45E0" w:rsidRPr="0085705D" w:rsidRDefault="001B45E0" w:rsidP="00A267AA">
            <w:pPr>
              <w:shd w:val="clear" w:color="auto" w:fill="FFFFFF"/>
              <w:tabs>
                <w:tab w:val="left" w:pos="-6237"/>
              </w:tabs>
              <w:suppressAutoHyphens w:val="0"/>
              <w:ind w:firstLine="739"/>
              <w:contextualSpacing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Исполнитель вправе привлекать к оказанию услуги иные организации или лиц, владеющих необходимым оборудованием, транспортом для проведения указанных услуг, а также необходимой разрешительной документацией, в том числе аккредитованной лабораторией в области контроля выбросов загрязняющих веществ в атмосферный воздух, подлежащих инструментальным замерам, указанным в п. 2.5. (с предоставлением копии аттестата аккредитации либо выписку из реестра аккредитованных лиц).</w:t>
            </w:r>
          </w:p>
          <w:p w:rsidR="001B45E0" w:rsidRPr="0085705D" w:rsidRDefault="001B45E0" w:rsidP="00A267AA">
            <w:pPr>
              <w:suppressAutoHyphens w:val="0"/>
              <w:ind w:firstLine="709"/>
              <w:contextualSpacing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В случае изменения нормативной документации во время действия Договора Исполнитель обязан руководствоваться вновь утвержденными нормативными документами.</w:t>
            </w:r>
          </w:p>
          <w:p w:rsidR="001B45E0" w:rsidRPr="0085705D" w:rsidRDefault="001B45E0" w:rsidP="00A267AA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left="66"/>
              <w:rPr>
                <w:kern w:val="0"/>
                <w:lang w:eastAsia="ru-RU"/>
              </w:rPr>
            </w:pPr>
          </w:p>
        </w:tc>
      </w:tr>
      <w:tr w:rsidR="001B45E0" w:rsidRPr="0085705D" w:rsidTr="00A267AA">
        <w:tc>
          <w:tcPr>
            <w:tcW w:w="10065" w:type="dxa"/>
          </w:tcPr>
          <w:p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426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lastRenderedPageBreak/>
              <w:t>Требования к оказанию услуг:</w:t>
            </w:r>
          </w:p>
          <w:p w:rsidR="001B45E0" w:rsidRPr="0085705D" w:rsidRDefault="001B45E0" w:rsidP="00A267AA">
            <w:pPr>
              <w:keepNext/>
              <w:keepLines/>
              <w:shd w:val="clear" w:color="auto" w:fill="FFFFFF"/>
              <w:suppressAutoHyphens w:val="0"/>
              <w:jc w:val="both"/>
              <w:outlineLvl w:val="0"/>
              <w:rPr>
                <w:bCs/>
                <w:kern w:val="0"/>
                <w:lang w:val="x-none" w:eastAsia="ru-RU"/>
              </w:rPr>
            </w:pPr>
            <w:r w:rsidRPr="0085705D">
              <w:rPr>
                <w:bCs/>
                <w:kern w:val="0"/>
                <w:lang w:val="x-none" w:eastAsia="ru-RU"/>
              </w:rPr>
              <w:t>1. П</w:t>
            </w:r>
            <w:r w:rsidRPr="0085705D">
              <w:rPr>
                <w:bCs/>
                <w:kern w:val="0"/>
                <w:lang w:eastAsia="ru-RU"/>
              </w:rPr>
              <w:t>роектная документация должна быть разработана в соответствии с действующим законодательством РФ и другими необходимыми законодательными и нормативными документами, действующими до момента окончания срока действия договора; проектная документация должна быть согласована в порядке, установленном действующим законодательством РФ.</w:t>
            </w:r>
            <w:r w:rsidRPr="0085705D">
              <w:rPr>
                <w:bCs/>
                <w:kern w:val="0"/>
                <w:lang w:val="x-none" w:eastAsia="ru-RU"/>
              </w:rPr>
              <w:t xml:space="preserve"> 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2. Исполнитель в качестве гарантийных обязательств выполняет: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устраняет в выполненных работах опечатки, ошибки в текстовых и графических материалах;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исправляет замечания при согласовании проекта и получении разрешительных документов;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предоставляет устные и письменные консультации, рекомендации и разъяснения, а также иную информацию, касающуюся результатов работ;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исправляет выявленные недостатки или недостоверность сведений при подготовке документации по СЗЗ, на которые они выполнены.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обеспечивает доработку материалов без дополнительной оплаты.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 xml:space="preserve">4. Разработанная документация передается Заказчику со всеми приложениями в 1-ом экземпляре в сброшюрованном виде на бумажном носителе и в электронном виде (в формате </w:t>
            </w:r>
            <w:r w:rsidRPr="0085705D">
              <w:rPr>
                <w:spacing w:val="-1"/>
                <w:kern w:val="0"/>
                <w:lang w:val="en-US" w:eastAsia="ru-RU"/>
              </w:rPr>
              <w:t>Word</w:t>
            </w:r>
            <w:r w:rsidRPr="0085705D">
              <w:rPr>
                <w:spacing w:val="-1"/>
                <w:kern w:val="0"/>
                <w:lang w:eastAsia="ru-RU"/>
              </w:rPr>
              <w:t xml:space="preserve"> и </w:t>
            </w:r>
            <w:r w:rsidRPr="0085705D">
              <w:rPr>
                <w:spacing w:val="-1"/>
                <w:kern w:val="0"/>
                <w:lang w:val="en-US" w:eastAsia="ru-RU"/>
              </w:rPr>
              <w:t>PDF</w:t>
            </w:r>
            <w:r w:rsidRPr="0085705D">
              <w:rPr>
                <w:spacing w:val="-1"/>
                <w:kern w:val="0"/>
                <w:lang w:eastAsia="ru-RU"/>
              </w:rPr>
              <w:t xml:space="preserve"> со всеми приложениями).</w:t>
            </w:r>
          </w:p>
          <w:p w:rsidR="001B45E0" w:rsidRPr="0085705D" w:rsidRDefault="001B45E0" w:rsidP="00A267AA">
            <w:pPr>
              <w:suppressAutoHyphens w:val="0"/>
              <w:ind w:firstLine="30"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5. Отчет с результатами замеров на расчетных границах СЗЗ (оригиналы протоколов лабораторных исследований и замеров физических факторов).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6. Выписки из ЕГРН, подтверждающей внесение сведений о СЗЗ в ЕГРН.</w:t>
            </w:r>
          </w:p>
          <w:p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kern w:val="0"/>
                <w:lang w:val="x-none" w:eastAsia="x-none"/>
              </w:rPr>
            </w:pPr>
          </w:p>
        </w:tc>
      </w:tr>
      <w:tr w:rsidR="001B45E0" w:rsidRPr="0085705D" w:rsidTr="00A267AA">
        <w:tc>
          <w:tcPr>
            <w:tcW w:w="10065" w:type="dxa"/>
          </w:tcPr>
          <w:p w:rsidR="001B45E0" w:rsidRPr="0085705D" w:rsidRDefault="001B45E0" w:rsidP="001B45E0">
            <w:pPr>
              <w:numPr>
                <w:ilvl w:val="0"/>
                <w:numId w:val="1"/>
              </w:numPr>
              <w:suppressAutoHyphens w:val="0"/>
              <w:ind w:left="30" w:firstLine="36"/>
              <w:contextualSpacing/>
              <w:rPr>
                <w:kern w:val="0"/>
                <w:lang w:eastAsia="x-none"/>
              </w:rPr>
            </w:pPr>
            <w:r w:rsidRPr="0085705D">
              <w:rPr>
                <w:b/>
                <w:kern w:val="0"/>
                <w:lang w:eastAsia="x-none"/>
              </w:rPr>
              <w:t>Дополнительно</w:t>
            </w:r>
            <w:r w:rsidRPr="0085705D">
              <w:rPr>
                <w:b/>
                <w:kern w:val="0"/>
                <w:lang w:val="x-none" w:eastAsia="x-none"/>
              </w:rPr>
              <w:t>:</w:t>
            </w:r>
          </w:p>
          <w:p w:rsidR="001B45E0" w:rsidRPr="00195F97" w:rsidRDefault="00195F97" w:rsidP="00195F97">
            <w:pPr>
              <w:suppressAutoHyphens w:val="0"/>
              <w:spacing w:before="40" w:after="40"/>
              <w:contextualSpacing/>
              <w:jc w:val="both"/>
              <w:rPr>
                <w:kern w:val="0"/>
                <w:lang w:eastAsia="x-none"/>
              </w:rPr>
            </w:pPr>
            <w:r>
              <w:rPr>
                <w:kern w:val="0"/>
                <w:lang w:eastAsia="x-none"/>
              </w:rPr>
              <w:t xml:space="preserve">1. </w:t>
            </w:r>
            <w:r w:rsidR="001B45E0" w:rsidRPr="0085705D">
              <w:rPr>
                <w:kern w:val="0"/>
                <w:lang w:eastAsia="x-none"/>
              </w:rPr>
              <w:t>Стоимость услуг</w:t>
            </w:r>
            <w:r w:rsidR="001B45E0" w:rsidRPr="0085705D">
              <w:rPr>
                <w:kern w:val="0"/>
                <w:lang w:val="x-none" w:eastAsia="x-none"/>
              </w:rPr>
              <w:t xml:space="preserve"> должна содержать все планируемые исполнителем расходы, включая материалы, механизмы, транспо</w:t>
            </w:r>
            <w:r w:rsidR="001B45E0">
              <w:rPr>
                <w:kern w:val="0"/>
                <w:lang w:val="x-none" w:eastAsia="x-none"/>
              </w:rPr>
              <w:t>ртные и командировочные расходы, за исключением затрат на</w:t>
            </w:r>
            <w:r>
              <w:rPr>
                <w:kern w:val="0"/>
                <w:lang w:eastAsia="x-none"/>
              </w:rPr>
              <w:t xml:space="preserve"> и</w:t>
            </w:r>
            <w:r w:rsidRPr="00195F97">
              <w:rPr>
                <w:kern w:val="0"/>
                <w:lang w:val="x-none" w:eastAsia="x-none"/>
              </w:rPr>
              <w:t>информационное обеспечение специализированной информацией в области гидрометеорологии и мониторинга загрязнения окружающей среды</w:t>
            </w:r>
            <w:r>
              <w:rPr>
                <w:kern w:val="0"/>
                <w:lang w:eastAsia="x-none"/>
              </w:rPr>
              <w:t xml:space="preserve"> (</w:t>
            </w:r>
            <w:r w:rsidRPr="00195F97">
              <w:rPr>
                <w:kern w:val="0"/>
                <w:lang w:eastAsia="x-none"/>
              </w:rPr>
              <w:t>ФГБУ «Иркутское УГМС»</w:t>
            </w:r>
            <w:r>
              <w:rPr>
                <w:kern w:val="0"/>
                <w:lang w:eastAsia="x-none"/>
              </w:rPr>
              <w:t>).</w:t>
            </w:r>
          </w:p>
        </w:tc>
      </w:tr>
    </w:tbl>
    <w:p w:rsidR="001B45E0" w:rsidRPr="0085705D" w:rsidRDefault="001B45E0" w:rsidP="001B45E0">
      <w:pPr>
        <w:suppressAutoHyphens w:val="0"/>
        <w:ind w:firstLine="709"/>
        <w:jc w:val="both"/>
        <w:rPr>
          <w:kern w:val="0"/>
          <w:lang w:eastAsia="ru-RU"/>
        </w:rPr>
      </w:pPr>
    </w:p>
    <w:p w:rsidR="005A59DE" w:rsidRPr="005A59DE" w:rsidRDefault="005A59DE" w:rsidP="005A59DE">
      <w:pPr>
        <w:rPr>
          <w:spacing w:val="-1"/>
          <w:szCs w:val="20"/>
        </w:rPr>
      </w:pPr>
      <w:r w:rsidRPr="005A59DE">
        <w:rPr>
          <w:spacing w:val="-1"/>
          <w:szCs w:val="20"/>
        </w:rPr>
        <w:t xml:space="preserve">Ведущий инженер – руководитель ГЭМиП </w:t>
      </w:r>
    </w:p>
    <w:p w:rsidR="001B45E0" w:rsidRPr="0085705D" w:rsidRDefault="005A59DE" w:rsidP="005A59DE">
      <w:pPr>
        <w:rPr>
          <w:kern w:val="0"/>
          <w:sz w:val="20"/>
          <w:szCs w:val="20"/>
          <w:highlight w:val="yellow"/>
          <w:lang w:eastAsia="ru-RU"/>
        </w:rPr>
      </w:pPr>
      <w:r w:rsidRPr="005A59DE">
        <w:rPr>
          <w:spacing w:val="-1"/>
          <w:szCs w:val="20"/>
        </w:rPr>
        <w:t>Аналитического центра ООО «ИЦ «</w:t>
      </w:r>
      <w:bookmarkStart w:id="0" w:name="_GoBack"/>
      <w:bookmarkEnd w:id="0"/>
      <w:proofErr w:type="gramStart"/>
      <w:r w:rsidRPr="005A59DE">
        <w:rPr>
          <w:spacing w:val="-1"/>
          <w:szCs w:val="20"/>
        </w:rPr>
        <w:t xml:space="preserve">Иркутскэнерго»  </w:t>
      </w:r>
      <w:r w:rsidRPr="005A59DE">
        <w:rPr>
          <w:spacing w:val="-1"/>
          <w:szCs w:val="20"/>
        </w:rPr>
        <w:t xml:space="preserve"> </w:t>
      </w:r>
      <w:proofErr w:type="gramEnd"/>
      <w:r w:rsidRPr="005A59DE">
        <w:rPr>
          <w:spacing w:val="-1"/>
          <w:szCs w:val="20"/>
        </w:rPr>
        <w:t xml:space="preserve">                           </w:t>
      </w:r>
      <w:r>
        <w:rPr>
          <w:spacing w:val="-1"/>
          <w:szCs w:val="20"/>
        </w:rPr>
        <w:t xml:space="preserve">          </w:t>
      </w:r>
      <w:r w:rsidRPr="005A59DE">
        <w:rPr>
          <w:spacing w:val="-1"/>
          <w:szCs w:val="20"/>
        </w:rPr>
        <w:t>В. А. Давыдков</w:t>
      </w:r>
    </w:p>
    <w:p w:rsidR="00D9060E" w:rsidRDefault="00D9060E"/>
    <w:sectPr w:rsidR="00D90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00870"/>
    <w:multiLevelType w:val="hybridMultilevel"/>
    <w:tmpl w:val="420413EC"/>
    <w:lvl w:ilvl="0" w:tplc="B5A4E4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1FC0"/>
    <w:multiLevelType w:val="hybridMultilevel"/>
    <w:tmpl w:val="307A22C4"/>
    <w:lvl w:ilvl="0" w:tplc="24427B0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42244C"/>
    <w:multiLevelType w:val="multilevel"/>
    <w:tmpl w:val="8C842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2463EF"/>
    <w:multiLevelType w:val="multilevel"/>
    <w:tmpl w:val="EA4AA9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E4"/>
    <w:rsid w:val="001622E3"/>
    <w:rsid w:val="00195F97"/>
    <w:rsid w:val="001B45E0"/>
    <w:rsid w:val="002377E4"/>
    <w:rsid w:val="002B21F8"/>
    <w:rsid w:val="005A59DE"/>
    <w:rsid w:val="00896EAC"/>
    <w:rsid w:val="00C36E27"/>
    <w:rsid w:val="00D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3DBF"/>
  <w15:chartTrackingRefBased/>
  <w15:docId w15:val="{83A7780C-A112-4CBE-A315-EBE150C3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5E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53617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Davydkov Vladimir</dc:creator>
  <cp:keywords/>
  <dc:description/>
  <cp:lastModifiedBy>Muzykin Ivan</cp:lastModifiedBy>
  <cp:revision>2</cp:revision>
  <dcterms:created xsi:type="dcterms:W3CDTF">2024-05-03T02:07:00Z</dcterms:created>
  <dcterms:modified xsi:type="dcterms:W3CDTF">2024-05-03T02:07:00Z</dcterms:modified>
</cp:coreProperties>
</file>